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f1"/>
        <w:tblW w:w="102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5"/>
        <w:gridCol w:w="6203"/>
      </w:tblGrid>
      <w:tr>
        <w:trPr/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выполнении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«Управление муниципальными финансами»</w:t>
            </w: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Финансовое управление администрации МО Северский район  информ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ирует</w:t>
      </w:r>
      <w:r>
        <w:rPr>
          <w:rFonts w:cs="Times New Roman" w:ascii="Times New Roman" w:hAnsi="Times New Roman"/>
          <w:sz w:val="28"/>
          <w:szCs w:val="28"/>
        </w:rPr>
        <w:t xml:space="preserve"> о выполнении мероприятий муниципальной программы муниципального образования Северский район «Управление муниципальными финансами», утвержденной постановлением администрации МО Северский район от 27 октября 2014 года  № 2021 (с изменениями) </w:t>
      </w:r>
      <w:r>
        <w:rPr>
          <w:rFonts w:eastAsia="Times New Roman" w:cs="Times New Roman" w:ascii="Times New Roman" w:hAnsi="Times New Roman"/>
          <w:sz w:val="28"/>
          <w:szCs w:val="28"/>
        </w:rPr>
        <w:t>за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Отчет о финансировании муниципальной программы     муниципального образования Северский район "Управление муниципальными финансами", утвержденной постановлением администрации МО Северский район от 27 октября 2014 года №2021 (прилагается по форме приложения №7 постановления администрации   муниципального образования  Северский район  №1019 от 17.06.2014).</w:t>
      </w:r>
    </w:p>
    <w:p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степени реализации подпрограмм  программы: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Объем финансирования программы в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году предусмотрен в сумме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34 813,8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руб., в т.ч.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34 004,5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из средств местного бюджета,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809,3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– средства сельских поселений. Освоено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31 010,8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руб., в т.ч.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30201,6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из средств местного бюджета,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809,3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– средства бюджета поселений.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Основное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мероприятие 1 «Организация бюджетного процесса в муниципальном образовании». На проведение мероприятия выделено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24 389,8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руб., в т.ч. из средств местного бюджета выделено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23 580,5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руб., из средств бюджета поселений –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809,3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Освоено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24341,8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(</w:t>
      </w:r>
      <w:r>
        <w:rPr>
          <w:rFonts w:cs="Times New Roman" w:ascii="Times New Roman" w:hAnsi="Times New Roman"/>
          <w:sz w:val="28"/>
          <w:szCs w:val="28"/>
        </w:rPr>
        <w:t xml:space="preserve">99,8%).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Мероприятие выполнено.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мероприятий 1.1 «Нормативное правовое регулирование бюджетного процесса в муниципальном образовании Северский район» и 1.2 «Составление проекта бюджета в муниципальном образовании Северский район на очередной финансовый год и плановый период»</w:t>
      </w:r>
      <w:r>
        <w:rPr>
          <w:rFonts w:cs="Times New Roman" w:ascii="Times New Roman" w:hAnsi="Times New Roman"/>
          <w:strike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основного мероприятия 1 «Организация бюджетного процесса в муниципальном образовании Северский район» финансовым управлением подготовлены нормативные документы по обеспечению правового регулирования бюджетного процесса в Северском районе, необходимые для составления и организации исполнения местного бюджета на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период  2024 и 2025 годов  в соответствии с требованиями бюджетного законодательства.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Конечным результатом реализации мероприятий, связанных с составлением проекта бюджета на очередной финансовый год, стал утвержденный местный бюджет на 2023 год и на плановый период 2024 и 2025 годов 22 декабря 2022 года, т.е. соответствующий требованию бюджетного кодекса об утверждении до начала очередного финансового года. Постановлениями администрации муниципального образования Северский район были утверждены основные направления бюджетной политики и налоговой политики в Северском районе на 2023 год и на плановый период 2024 и 2025 годов и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долговой политики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Северский район на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 приказ о внесении изменений по применению бюджетной классификации расходов, относящихся к местному бюджету на 2023 год и на плановый период 2024 и 2025 годов в соответствии с приказом МФ РФ, МФ КК и изменениями к нему.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 проект местного бюджета на основе бюджетных проектировок главных распорядителей и реестра расходных обязательств муниципального района с учетом закрепленных полномочий за муниципальным районом, утвержденных законом Краснодарского края «О закреплении вопросов местного значения за сельскими поселениями Краснодарского края».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 сформирован и утвержден в программном формате (93,5% от общих расходов местного бюджета) по действующим и принимаемым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обязательствам муниципального района.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приказом финансового управления по составлению сводной бюджетной росписи, до начала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года в течение двух дней после утверждения местного бюджета, утвержденные бюджетные ассигнования доведены до главных распорядителей средств местного бюджета.</w:t>
      </w:r>
      <w:bookmarkStart w:id="0" w:name="_Hlk96423580"/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1.3 «Организация исполнения бюджета муниципального образования Северский район и формирование бюджетной отчетности» до начала года утверждена Сводная бюджетная роспись главных распорядителей на основе сводной бюджетной росписи главных распорядителей, доведенных до финансового управления по электронным каналам связи в программном продукте  «АС Бюджет».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Утвержден кассовый план исполнения местного бюджета на основе кассовых планов главных распорядителей, доведенных до финансового управления по электронным каналам связи в программном продукте «АС Бюджет».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Кассовый план сбалансирован ежемесячно с учетом поступлений доходов местного бюджета, остатков местного бюджета на 1 января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года и источников финансирования дефицита местного бюджета.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Финансовое управление организует составление отчетности главных распорядителей как ежемесячную, так квартальную и годовую отчетность с обеспечением предоставления консолидированного отчета Северского района в Министерство финансов Краснодарского края в установленные сроки качественно и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1.4. «Обеспечение внутреннего финансового контроля» финансовое управление обеспечивает постоянный текущий контроль за кассовыми операциями по средствам   местного бюджета.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Утверждены нормативные документы, направленные на усиление внутреннего финансового контроля за соблюдением процедур составления и исполнения бюджета по расходам как финансового управления, так и главными распорядителями.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выполнения мероприятия 1.5. «Обеспечение доступности информации о бюджетном процессе в муниципальном образовании Северский район» финансовое управление размещает информацию на сайте администрации МО Северский район в разделе «Финансовое управление» нормативные документы, необходимые для составления и исполнения местного бюджета; проводит публичные слушания по проекту местного бюджета и его исполнению;  контролирует полное  размещение  муниципальных учреждений и организаций на официальном  сайте в сети Интернет </w:t>
      </w:r>
      <w:r>
        <w:rPr>
          <w:rFonts w:cs="Times New Roman" w:ascii="Times New Roman" w:hAnsi="Times New Roman"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.; размещает информацию о реализации бюджетного процесса в разделе «Бюджет для граждан».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выполнения мероприятия 1.6. «Финансовое обеспечение выполнения других обязательств муниципального образования Северский район» финансовое управление регистрирует в установленном порядке и исполняет поступившие на реализацию решения судебных органов в отношении муниципальных учреждений, лицевые счета которых состоят в финансовом управлении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2) Основное мероприятие 2 «Обеспечение реализации программы». 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 проведение мероприятия выделено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1 989,0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из средств местного бюджета. Освоено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1 989,0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(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100,0 </w:t>
      </w:r>
      <w:r>
        <w:rPr>
          <w:rFonts w:cs="Times New Roman" w:ascii="Times New Roman" w:hAnsi="Times New Roman"/>
          <w:sz w:val="28"/>
          <w:szCs w:val="28"/>
        </w:rPr>
        <w:t xml:space="preserve">%).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мероприятия</w:t>
      </w:r>
      <w:r>
        <w:rPr>
          <w:rFonts w:cs="Times New Roman" w:ascii="Times New Roman" w:hAnsi="Times New Roman"/>
          <w:sz w:val="28"/>
          <w:szCs w:val="28"/>
        </w:rPr>
        <w:t xml:space="preserve"> реализованы функции организационно- технического оснащения исполнения местного бюджета в программном продукте «АС-Бюджет». Ведется работа по размещению на Едином Портале Бюджетной Системы Российской Федерации в подразделе «Бюджетная система» в рамках муниципального сегмента системы «Электронный бюджет».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Основное мероприятие 3 «Управление муниципальным долгом». 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 проведение мероприятия выделено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3371,8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из средств местного бюджета. Освоено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110,0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3,3</w:t>
      </w:r>
      <w:r>
        <w:rPr>
          <w:rFonts w:cs="Times New Roman" w:ascii="Times New Roman" w:hAnsi="Times New Roman"/>
          <w:sz w:val="28"/>
          <w:szCs w:val="28"/>
        </w:rPr>
        <w:t>%). (в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г.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72,5</w:t>
      </w:r>
      <w:r>
        <w:rPr>
          <w:rFonts w:cs="Times New Roman" w:ascii="Times New Roman" w:hAnsi="Times New Roman"/>
          <w:sz w:val="28"/>
          <w:szCs w:val="28"/>
        </w:rPr>
        <w:t>%). Так как тенденцией развития данного показателя является его снижение, то данное м</w:t>
      </w:r>
      <w:r>
        <w:rPr>
          <w:rFonts w:eastAsia="Times New Roman" w:cs="Times New Roman" w:ascii="Times New Roman" w:hAnsi="Times New Roman"/>
          <w:sz w:val="28"/>
          <w:szCs w:val="28"/>
        </w:rPr>
        <w:t>ероприятие выполнено.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мероприятия администрацией МО Северский район и финансовым управлением осуществлен расчет на обслуживание муниципального долга, запланированы источники финансирования дефицита муниципального долга, предельного объема муниципального долга и верхнего предела муниципального долга на 1 января очередного финансового года. Все указанные параметры составлены с ограничениями, установленными Бюджетным кодексом Российской Федерации и утверждены в решении о местном бюджете на 2023 год и на плановый период 2024 и 2025 годы.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Муниципальный долг на 1 января 2023 года составил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0,0</w:t>
      </w:r>
      <w:r>
        <w:rPr>
          <w:rFonts w:cs="Times New Roman" w:ascii="Times New Roman" w:hAnsi="Times New Roman"/>
          <w:sz w:val="28"/>
          <w:szCs w:val="28"/>
        </w:rPr>
        <w:t xml:space="preserve"> тыс. рублей  или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0,0</w:t>
      </w:r>
      <w:r>
        <w:rPr>
          <w:rFonts w:cs="Times New Roman" w:ascii="Times New Roman" w:hAnsi="Times New Roman"/>
          <w:sz w:val="28"/>
          <w:szCs w:val="28"/>
        </w:rPr>
        <w:t xml:space="preserve"> % от собственных налоговых поступлений в бюджет муниципального района и сохраняет безопасный экономический уровень для района.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соответствии с оценкой долговой устойчивости муниципальных образований Краснодарского края, проведенной с использованием министерством финансов Краснодарского края, муниципальное образование Северский район на 2023 год отнесен к группе с высоким уровнем долговой устойчивости.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Основное мероприятие 4 «Предоставление межбюджетных трансфертов». Н</w:t>
      </w:r>
      <w:r>
        <w:rPr>
          <w:rFonts w:eastAsia="Times New Roman" w:cs="Times New Roman" w:ascii="Times New Roman" w:hAnsi="Times New Roman"/>
          <w:sz w:val="28"/>
          <w:szCs w:val="28"/>
        </w:rPr>
        <w:t>а проведение мероприятия выделено 3000,0 тыс. руб. из средств местного бюджета. Освоено 3 000,0 тыс. руб. (</w:t>
      </w:r>
      <w:r>
        <w:rPr>
          <w:rFonts w:cs="Times New Roman" w:ascii="Times New Roman" w:hAnsi="Times New Roman"/>
          <w:sz w:val="28"/>
          <w:szCs w:val="28"/>
        </w:rPr>
        <w:t xml:space="preserve">100%).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ероприятия </w:t>
      </w:r>
      <w:r>
        <w:rPr>
          <w:rFonts w:cs="Times New Roman" w:ascii="Times New Roman" w:hAnsi="Times New Roman"/>
          <w:sz w:val="28"/>
          <w:szCs w:val="28"/>
        </w:rPr>
        <w:t>в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году в соответствии с Положением о бюджетном процессе в муниципальном образовании Северский район, Положением о межбюджетных отношениях в Северском районе и решением о местном бюджете на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 утверждены и распределены объемы дотации на выравнивание бюджетной обеспеченности поселений.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результате передачи дотации на выравнивание бюджетной обеспеченности поселений, обеспечен рост уровня бюджетной обеспеченности поселений на 0,1, т.е. с уровня бюджетной обеспеченности до выравнивания с 0,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62</w:t>
      </w:r>
      <w:r>
        <w:rPr>
          <w:rFonts w:cs="Times New Roman" w:ascii="Times New Roman" w:hAnsi="Times New Roman"/>
          <w:sz w:val="28"/>
          <w:szCs w:val="28"/>
        </w:rPr>
        <w:t xml:space="preserve"> до 0,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8 после выравнивания бюджетной обеспеченности.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Основное мероприятие 5 «Резервный фонд администрации муниципального образования Северский район». 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 проведение мероприятия выделено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2 063,2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из средств местного бюджета. Освоено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1 570,0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76,1</w:t>
      </w:r>
      <w:r>
        <w:rPr>
          <w:rFonts w:cs="Times New Roman" w:ascii="Times New Roman" w:hAnsi="Times New Roman"/>
          <w:sz w:val="28"/>
          <w:szCs w:val="28"/>
        </w:rPr>
        <w:t xml:space="preserve"> %), (в 202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г.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88</w:t>
      </w:r>
      <w:r>
        <w:rPr>
          <w:rFonts w:cs="Times New Roman" w:ascii="Times New Roman" w:hAnsi="Times New Roman"/>
          <w:sz w:val="28"/>
          <w:szCs w:val="28"/>
        </w:rPr>
        <w:t>%). В связи с отсутствием документов по непредвиденным расходам,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бюджетные средства не востребованы в полном объеме. Так как тенденцией развития данного показателя является его снижение, то данное м</w:t>
      </w:r>
      <w:r>
        <w:rPr>
          <w:rFonts w:eastAsia="Times New Roman" w:cs="Times New Roman" w:ascii="Times New Roman" w:hAnsi="Times New Roman"/>
          <w:sz w:val="28"/>
          <w:szCs w:val="28"/>
        </w:rPr>
        <w:t>ероприятие выполнено.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рамках мероприятия в местном бюджете на 2022 год утвержден резервный фонд администрации МО Северский район, соответствующий предельным нормам, установленным требованиями Бюджетного кодекса Российской Федерации (не более 3% от общих расходов местного бюджета). При исполнении местного бюджета резервный фонд был распределен на выплату материальной помощи гражданам, получившим материальный ущерб в результате пожаров индивидуального жилья и в результате наводнения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на территории </w:t>
      </w:r>
      <w:r>
        <w:rPr>
          <w:rFonts w:cs="Times New Roman" w:ascii="Times New Roman" w:hAnsi="Times New Roman"/>
          <w:sz w:val="28"/>
          <w:szCs w:val="28"/>
        </w:rPr>
        <w:t>Северского района в январе-феврале 2022 года. Резервный фонд распределялся на основании Положения о резервном фонде администрации муниципального образования Северский район и постановлениями администрации по каждой выплате.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1.Оценка степени реализации мероприятий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СРм =Мв/М =5/5=1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2.Оценка степени соответствия запланированному уровню расходов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Ссуз=Зф/Зп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-567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Ссуз=(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30201,5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809,3</w:t>
      </w:r>
      <w:r>
        <w:rPr>
          <w:rFonts w:cs="Times New Roman" w:ascii="Times New Roman" w:hAnsi="Times New Roman"/>
          <w:sz w:val="28"/>
          <w:szCs w:val="28"/>
        </w:rPr>
        <w:t>)/(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34004,5</w:t>
      </w:r>
      <w:r>
        <w:rPr>
          <w:rFonts w:cs="Times New Roman" w:ascii="Times New Roman" w:hAnsi="Times New Roman"/>
          <w:sz w:val="28"/>
          <w:szCs w:val="28"/>
        </w:rPr>
        <w:t>+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809,3</w:t>
      </w:r>
      <w:r>
        <w:rPr>
          <w:rFonts w:cs="Times New Roman" w:ascii="Times New Roman" w:hAnsi="Times New Roman"/>
          <w:sz w:val="28"/>
          <w:szCs w:val="28"/>
        </w:rPr>
        <w:t>)=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=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31010,8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/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34813,8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=0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3.Оценка эффективности использования средств местного бюджета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Эис = СРм/Ссуз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Эис =1/0,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89</w:t>
      </w:r>
      <w:r>
        <w:rPr>
          <w:rFonts w:cs="Times New Roman" w:ascii="Times New Roman" w:hAnsi="Times New Roman"/>
          <w:sz w:val="28"/>
          <w:szCs w:val="28"/>
        </w:rPr>
        <w:t>=1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4.Оценка степени достижения целей и решения задач муниципальной 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программы «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Управление муниципальными финансами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СДгппз=ЗПгпф/ЗПгпп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tbl>
      <w:tblPr>
        <w:tblW w:w="10390" w:type="dxa"/>
        <w:jc w:val="left"/>
        <w:tblInd w:w="-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4"/>
        <w:gridCol w:w="4770"/>
        <w:gridCol w:w="1352"/>
        <w:gridCol w:w="1200"/>
        <w:gridCol w:w="1252"/>
        <w:gridCol w:w="1081"/>
      </w:tblGrid>
      <w:tr>
        <w:trPr>
          <w:trHeight w:val="276" w:hRule="atLeast"/>
          <w:cantSplit w:val="true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>
        <w:trPr>
          <w:trHeight w:val="276" w:hRule="atLeast"/>
          <w:cantSplit w:val="true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ЗПгпп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ЗПгпф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СДгппз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6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просроченной кредиторской   задолженности бюджета муниципального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Отношение размера дефицита бюджета к годовому объему доходов бюджета без учета утвержденного объема    безвозмездных поступлений   из  бюджетов вышестоящих уровней </w:t>
            </w:r>
            <w:hyperlink w:anchor="Par419">
              <w:r>
                <w:rPr>
                  <w:rFonts w:cs="Times New Roman" w:ascii="Times New Roman" w:hAnsi="Times New Roman"/>
                  <w:sz w:val="24"/>
                  <w:szCs w:val="24"/>
                </w:rPr>
                <w:t>&lt;*&gt;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и  поступлений налоговых доходов по дополнительным нормативам отчислений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более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Де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фицит 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5,6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Удельный вес расходов бюджета,  формируемых в рамках программ,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общем объеме расходов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91,3%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91,3%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1,00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Соблюдение порядка и сроков       разработки проекта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района, установленных бюджетным законодательством 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нормативным правовым актом органа местного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утверждение сводной бюджетной росписи бюджета  муниципального района в сроки,   установленные бюджетным   законодательством Российской   Федерации и нормативным правовым  актом органа местного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.12.2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г.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Доведение показателей сводной   бюджетной росписи и лимитов   бюджетных обязательств до главных распорядителей средств бюджета    муниципального района  в сроки,  установленные законодательством   Российской Федерации и нормативным правовым актом органа местного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начала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финансового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и представление в Совет муниципального образования Северский район годового отчета об исполнении   местного бюджета в сроки, установленные бюджетным    законодательством Российской   Федерации и нормативным правовым актом органа местного     самоуправления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 мая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текущего   года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right="-6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.04.2022</w:t>
            </w:r>
          </w:p>
          <w:p>
            <w:pPr>
              <w:pStyle w:val="ListParagraph"/>
              <w:widowControl w:val="false"/>
              <w:spacing w:before="0" w:after="200"/>
              <w:ind w:left="0" w:right="-66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3710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публичных слушаний по проекту бюджета муниципального района на очередной финансовый год и плановый период и по годовому отчету об исполнении местного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.06.2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–по отчету за 2021 год;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проекту м.б. на 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.12.2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Поддержание раздела Финансового управления на официальном сайте Администрации муниципального образования Северский район в информационно телекоммуникационной сети Интернет в актуальном   состоянии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действующей интегрированной информационной    системы управления муниципальными финансами, в рамках которой    обеспечивается взаимосвязь всех инструментов стратегического и   бюджетного планирования, единство процессов составления и исполнения местного бюджета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Отношение объема муниципального   долга к годовому объему доходов бюджета без учета утвержденного   объема безвозмездных поступлений из бюджетов вышестоящих уровней   и  поступлений налоговых доходов по дополнительным нормативам отчислений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" w:cs="" w:ascii="Times New Roman" w:hAnsi="Times New Roman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0,0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Доля расходов на обслуживание     муниципального долга в общем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объеме расходов бюджета (за   исключением расходов,   осуществляемых за счет субвенций  из бюджетов вышестоящих уровней)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</w:t>
            </w:r>
          </w:p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0,2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007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1(выполнен)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просроченной задолженности  по долговым обязательствам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  <w:tr>
        <w:trPr>
          <w:trHeight w:val="647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Минимально гарантированный уровень расчётной бюджетной обеспеченности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иных межбюджетных трансфертов  для финансового обеспечения переданных полномочий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rPr/>
            </w:pPr>
            <w:r>
              <w:rPr/>
              <w:t>16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Отношение резервного  фонда администрации к общему объему расходов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более 3 процентов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(выполнен)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firstLine="708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МСРгп=ΣСДгппзс/М</w:t>
      </w:r>
    </w:p>
    <w:p>
      <w:pPr>
        <w:pStyle w:val="NoSpacing"/>
        <w:ind w:firstLine="708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ΣСДгппзс =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; М=16</w:t>
      </w:r>
    </w:p>
    <w:p>
      <w:pPr>
        <w:pStyle w:val="NoSpacing"/>
        <w:ind w:firstLine="708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СРгп=1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/16=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Spacing"/>
        <w:ind w:left="1211" w:hanging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5.Оценка эффективности реализации муниципальной программы</w:t>
      </w:r>
    </w:p>
    <w:p>
      <w:pPr>
        <w:pStyle w:val="NoSpacing"/>
        <w:ind w:left="1211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left="1211" w:hanging="0"/>
        <w:jc w:val="center"/>
        <w:rPr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ЭРгп=СРгп*Эис=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*1=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</w:p>
    <w:p>
      <w:pPr>
        <w:pStyle w:val="NoSpacing"/>
        <w:ind w:left="1211" w:hanging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Spacing"/>
        <w:ind w:firstLine="851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Эффективность реализации муниципальной программы соответствует высокой, так как ЭРгп &gt;0,9 и равно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  <w:bookmarkStart w:id="1" w:name="_Hlk96424889"/>
      <w:bookmarkEnd w:id="1"/>
    </w:p>
    <w:p>
      <w:pPr>
        <w:pStyle w:val="NoSpacing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начальника финансового управления,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бюджетного отдела</w:t>
        <w:tab/>
        <w:tab/>
        <w:tab/>
        <w:tab/>
        <w:tab/>
        <w:t xml:space="preserve">      М.Г.Саркисова</w:t>
        <w:tab/>
        <w:tab/>
        <w:t xml:space="preserve">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24376188"/>
    </w:sdtPr>
    <w:sdtContent>
      <w:p>
        <w:pPr>
          <w:pStyle w:val="Style25"/>
          <w:jc w:val="center"/>
          <w:rPr/>
        </w:pPr>
        <w:r>
          <w:rPr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f18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903c52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d6370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d6370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7d1f5a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533c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085e85"/>
    <w:pPr>
      <w:spacing w:before="0" w:after="200"/>
      <w:ind w:left="720" w:hanging="0"/>
      <w:contextualSpacing/>
    </w:pPr>
    <w:rPr/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bd63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semiHidden/>
    <w:unhideWhenUsed/>
    <w:rsid w:val="00bd637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d1f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Cell" w:customStyle="1">
    <w:name w:val="ConsPlusCell"/>
    <w:qFormat/>
    <w:rsid w:val="00464a9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9533c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EDA6-EBBF-43A2-9BD8-785576AA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Application>LibreOffice/7.0.4.2$Windows_x86 LibreOffice_project/dcf040e67528d9187c66b2379df5ea4407429775</Application>
  <AppVersion>15.0000</AppVersion>
  <Pages>7</Pages>
  <Words>1791</Words>
  <Characters>12618</Characters>
  <CharactersWithSpaces>14382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2016-01-29T07:39:00Z</dcterms:created>
  <dc:creator>SarkisovaMG</dc:creator>
  <dc:description/>
  <dc:language>ru-RU</dc:language>
  <cp:lastModifiedBy/>
  <cp:lastPrinted>2022-02-28T11:22:38Z</cp:lastPrinted>
  <dcterms:modified xsi:type="dcterms:W3CDTF">2023-04-20T14:13:09Z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